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A166B" w14:textId="3DCAE726" w:rsidR="00575EDD" w:rsidRPr="00FC41FC" w:rsidRDefault="00D028DE" w:rsidP="00575EDD">
      <w:pPr>
        <w:jc w:val="center"/>
        <w:rPr>
          <w:b/>
          <w:bCs/>
          <w:sz w:val="32"/>
          <w:szCs w:val="32"/>
        </w:rPr>
      </w:pPr>
      <w:r>
        <w:rPr>
          <w:b/>
          <w:bCs/>
          <w:sz w:val="32"/>
          <w:szCs w:val="32"/>
        </w:rPr>
        <w:t>S</w:t>
      </w:r>
      <w:r w:rsidR="007305E4" w:rsidRPr="00FC41FC">
        <w:rPr>
          <w:b/>
          <w:bCs/>
          <w:sz w:val="32"/>
          <w:szCs w:val="32"/>
        </w:rPr>
        <w:t>ystèmes d’éclairage</w:t>
      </w:r>
      <w:r w:rsidRPr="00D028DE">
        <w:rPr>
          <w:b/>
          <w:bCs/>
          <w:sz w:val="32"/>
          <w:szCs w:val="32"/>
        </w:rPr>
        <w:t xml:space="preserve"> </w:t>
      </w:r>
      <w:r>
        <w:rPr>
          <w:b/>
          <w:bCs/>
          <w:sz w:val="32"/>
          <w:szCs w:val="32"/>
        </w:rPr>
        <w:t>et conformité au d</w:t>
      </w:r>
      <w:r w:rsidRPr="00FC41FC">
        <w:rPr>
          <w:b/>
          <w:bCs/>
          <w:sz w:val="32"/>
          <w:szCs w:val="32"/>
        </w:rPr>
        <w:t>écret BACS</w:t>
      </w:r>
    </w:p>
    <w:p w14:paraId="5A02C00C" w14:textId="79102336" w:rsidR="00CD52CB" w:rsidRPr="00CD52CB" w:rsidRDefault="00F600E7" w:rsidP="00165BD7">
      <w:pPr>
        <w:numPr>
          <w:ilvl w:val="0"/>
          <w:numId w:val="1"/>
        </w:numPr>
        <w:spacing w:before="240" w:after="120"/>
        <w:ind w:left="714" w:hanging="357"/>
      </w:pPr>
      <w:r>
        <w:rPr>
          <w:b/>
          <w:bCs/>
        </w:rPr>
        <w:t>BACS</w:t>
      </w:r>
      <w:r w:rsidR="00CD52CB" w:rsidRPr="00CD52CB">
        <w:rPr>
          <w:b/>
          <w:bCs/>
        </w:rPr>
        <w:t> : une obligation</w:t>
      </w:r>
      <w:r w:rsidR="00C1511B" w:rsidRPr="007305E4">
        <w:rPr>
          <w:b/>
          <w:bCs/>
        </w:rPr>
        <w:t xml:space="preserve"> simple en éclairage</w:t>
      </w:r>
    </w:p>
    <w:p w14:paraId="1D732863" w14:textId="7B23D689" w:rsidR="00135D41" w:rsidRPr="008B2981" w:rsidRDefault="00F60049" w:rsidP="00CD52CB">
      <w:pPr>
        <w:rPr>
          <w:sz w:val="22"/>
          <w:szCs w:val="22"/>
        </w:rPr>
      </w:pPr>
      <w:r w:rsidRPr="008B2981">
        <w:rPr>
          <w:sz w:val="22"/>
          <w:szCs w:val="22"/>
        </w:rPr>
        <w:t>L</w:t>
      </w:r>
      <w:r w:rsidR="00135D41" w:rsidRPr="008B2981">
        <w:rPr>
          <w:sz w:val="22"/>
          <w:szCs w:val="22"/>
        </w:rPr>
        <w:t>e « décret BACS</w:t>
      </w:r>
      <w:r w:rsidR="007D10AD" w:rsidRPr="008B2981">
        <w:rPr>
          <w:sz w:val="22"/>
          <w:szCs w:val="22"/>
          <w:vertAlign w:val="superscript"/>
        </w:rPr>
        <w:t>1</w:t>
      </w:r>
      <w:r w:rsidR="00135D41" w:rsidRPr="008B2981">
        <w:rPr>
          <w:sz w:val="22"/>
          <w:szCs w:val="22"/>
        </w:rPr>
        <w:t> » impose la</w:t>
      </w:r>
      <w:r w:rsidR="00CD52CB" w:rsidRPr="008B2981">
        <w:rPr>
          <w:sz w:val="22"/>
          <w:szCs w:val="22"/>
        </w:rPr>
        <w:t xml:space="preserve"> mise en place d’une GTB</w:t>
      </w:r>
      <w:r w:rsidR="00135D41" w:rsidRPr="008B2981">
        <w:rPr>
          <w:sz w:val="22"/>
          <w:szCs w:val="22"/>
        </w:rPr>
        <w:t>,</w:t>
      </w:r>
      <w:r w:rsidR="00CD52CB" w:rsidRPr="008B2981">
        <w:rPr>
          <w:sz w:val="22"/>
          <w:szCs w:val="22"/>
        </w:rPr>
        <w:t xml:space="preserve"> </w:t>
      </w:r>
      <w:r w:rsidR="00135D41" w:rsidRPr="008B2981">
        <w:rPr>
          <w:sz w:val="22"/>
          <w:szCs w:val="22"/>
        </w:rPr>
        <w:t>ouverte et interopérable avec les systèmes spécifiques éventuels</w:t>
      </w:r>
      <w:r w:rsidR="006E3BE3" w:rsidRPr="008B2981">
        <w:rPr>
          <w:sz w:val="22"/>
          <w:szCs w:val="22"/>
        </w:rPr>
        <w:t xml:space="preserve">. Ces systèmes </w:t>
      </w:r>
      <w:r w:rsidR="00CD52CB" w:rsidRPr="008B2981">
        <w:rPr>
          <w:sz w:val="22"/>
          <w:szCs w:val="22"/>
        </w:rPr>
        <w:t>permet</w:t>
      </w:r>
      <w:r w:rsidR="00135D41" w:rsidRPr="008B2981">
        <w:rPr>
          <w:sz w:val="22"/>
          <w:szCs w:val="22"/>
        </w:rPr>
        <w:t>te</w:t>
      </w:r>
      <w:r w:rsidR="006E3BE3" w:rsidRPr="008B2981">
        <w:rPr>
          <w:sz w:val="22"/>
          <w:szCs w:val="22"/>
        </w:rPr>
        <w:t>nt</w:t>
      </w:r>
      <w:r w:rsidR="00CD52CB" w:rsidRPr="008B2981">
        <w:rPr>
          <w:sz w:val="22"/>
          <w:szCs w:val="22"/>
        </w:rPr>
        <w:t xml:space="preserve"> de respecter </w:t>
      </w:r>
      <w:r w:rsidR="00135D41" w:rsidRPr="008B2981">
        <w:rPr>
          <w:sz w:val="22"/>
          <w:szCs w:val="22"/>
        </w:rPr>
        <w:t>l’</w:t>
      </w:r>
      <w:r w:rsidR="004220DA" w:rsidRPr="008B2981">
        <w:rPr>
          <w:sz w:val="22"/>
          <w:szCs w:val="22"/>
        </w:rPr>
        <w:t>exigence</w:t>
      </w:r>
      <w:r w:rsidR="00CD52CB" w:rsidRPr="008B2981">
        <w:rPr>
          <w:sz w:val="22"/>
          <w:szCs w:val="22"/>
        </w:rPr>
        <w:t xml:space="preserve"> réglementaire</w:t>
      </w:r>
      <w:r w:rsidR="00135D41" w:rsidRPr="008B2981">
        <w:rPr>
          <w:sz w:val="22"/>
          <w:szCs w:val="22"/>
        </w:rPr>
        <w:t xml:space="preserve"> d'automatisation et de contrôle des usages </w:t>
      </w:r>
      <w:r w:rsidR="006E3BE3" w:rsidRPr="008B2981">
        <w:rPr>
          <w:sz w:val="22"/>
          <w:szCs w:val="22"/>
        </w:rPr>
        <w:t xml:space="preserve">thermiques </w:t>
      </w:r>
      <w:r w:rsidR="00135D41" w:rsidRPr="008B2981">
        <w:rPr>
          <w:sz w:val="22"/>
          <w:szCs w:val="22"/>
        </w:rPr>
        <w:t>de l’énergie dans le bâtiment</w:t>
      </w:r>
      <w:r w:rsidR="006E3BE3" w:rsidRPr="008B2981">
        <w:rPr>
          <w:sz w:val="22"/>
          <w:szCs w:val="22"/>
        </w:rPr>
        <w:t xml:space="preserve"> (chauffage, climatisation, ventilation)</w:t>
      </w:r>
      <w:r w:rsidR="00135D41" w:rsidRPr="008B2981">
        <w:rPr>
          <w:sz w:val="22"/>
          <w:szCs w:val="22"/>
        </w:rPr>
        <w:t>.</w:t>
      </w:r>
    </w:p>
    <w:p w14:paraId="508754C1" w14:textId="6C27DCB3" w:rsidR="00CD52CB" w:rsidRPr="008B2981" w:rsidRDefault="00135D41" w:rsidP="00CD52CB">
      <w:pPr>
        <w:rPr>
          <w:sz w:val="22"/>
          <w:szCs w:val="22"/>
        </w:rPr>
      </w:pPr>
      <w:r w:rsidRPr="008B2981">
        <w:rPr>
          <w:sz w:val="22"/>
          <w:szCs w:val="22"/>
        </w:rPr>
        <w:t>P</w:t>
      </w:r>
      <w:r w:rsidR="00CD52CB" w:rsidRPr="008B2981">
        <w:rPr>
          <w:sz w:val="22"/>
          <w:szCs w:val="22"/>
        </w:rPr>
        <w:t>our la gestion de l’éclairage</w:t>
      </w:r>
      <w:r w:rsidR="00187E13" w:rsidRPr="008B2981">
        <w:rPr>
          <w:sz w:val="22"/>
          <w:szCs w:val="22"/>
        </w:rPr>
        <w:t>,</w:t>
      </w:r>
      <w:r w:rsidR="00CD52CB" w:rsidRPr="008B2981">
        <w:rPr>
          <w:sz w:val="22"/>
          <w:szCs w:val="22"/>
        </w:rPr>
        <w:t xml:space="preserve"> il existe des </w:t>
      </w:r>
      <w:r w:rsidR="006E3BE3" w:rsidRPr="008B2981">
        <w:rPr>
          <w:sz w:val="22"/>
          <w:szCs w:val="22"/>
        </w:rPr>
        <w:t xml:space="preserve">systèmes de </w:t>
      </w:r>
      <w:r w:rsidR="00CD52CB" w:rsidRPr="008B2981">
        <w:rPr>
          <w:sz w:val="22"/>
          <w:szCs w:val="22"/>
        </w:rPr>
        <w:t xml:space="preserve">capteurs et </w:t>
      </w:r>
      <w:r w:rsidR="006E3BE3" w:rsidRPr="008B2981">
        <w:rPr>
          <w:sz w:val="22"/>
          <w:szCs w:val="22"/>
        </w:rPr>
        <w:t>d’</w:t>
      </w:r>
      <w:r w:rsidR="00CD52CB" w:rsidRPr="008B2981">
        <w:rPr>
          <w:sz w:val="22"/>
          <w:szCs w:val="22"/>
        </w:rPr>
        <w:t>automatismes dédiés qui permettent de grader, éteindre ou allumer l’éclairage en fonction du besoin réel : présence d’une personne ou lumière du jour insuffisante.</w:t>
      </w:r>
      <w:r w:rsidR="006E3BE3" w:rsidRPr="008B2981">
        <w:rPr>
          <w:sz w:val="22"/>
          <w:szCs w:val="22"/>
        </w:rPr>
        <w:t xml:space="preserve"> </w:t>
      </w:r>
      <w:r w:rsidR="00B90407" w:rsidRPr="008B2981">
        <w:rPr>
          <w:sz w:val="22"/>
          <w:szCs w:val="22"/>
        </w:rPr>
        <w:t>Un système d’éclairage autonome peut donc remplir seul les fonctions attendues, sans forcément passer par une GTB globale</w:t>
      </w:r>
      <w:r w:rsidR="00033BCF" w:rsidRPr="008B2981">
        <w:rPr>
          <w:sz w:val="22"/>
          <w:szCs w:val="22"/>
        </w:rPr>
        <w:t>, la GTB n’assurant qu’un rôle de superviseur.</w:t>
      </w:r>
    </w:p>
    <w:p w14:paraId="1A1EAF9F" w14:textId="3C494578" w:rsidR="00CD52CB" w:rsidRPr="008B2981" w:rsidRDefault="00CD52CB" w:rsidP="00165BD7">
      <w:pPr>
        <w:numPr>
          <w:ilvl w:val="0"/>
          <w:numId w:val="1"/>
        </w:numPr>
        <w:spacing w:before="240" w:after="120"/>
        <w:ind w:left="714" w:hanging="357"/>
        <w:rPr>
          <w:b/>
          <w:bCs/>
        </w:rPr>
      </w:pPr>
      <w:r w:rsidRPr="008B2981">
        <w:rPr>
          <w:b/>
          <w:bCs/>
        </w:rPr>
        <w:t>Quels critères respecter ?</w:t>
      </w:r>
    </w:p>
    <w:p w14:paraId="79ED6506" w14:textId="34D02CD4" w:rsidR="00B412F8" w:rsidRPr="008B2981" w:rsidRDefault="00CD52CB" w:rsidP="00B412F8">
      <w:pPr>
        <w:rPr>
          <w:sz w:val="22"/>
          <w:szCs w:val="22"/>
        </w:rPr>
      </w:pPr>
      <w:r w:rsidRPr="008B2981">
        <w:rPr>
          <w:sz w:val="22"/>
          <w:szCs w:val="22"/>
        </w:rPr>
        <w:t xml:space="preserve">Si votre système d’éclairage </w:t>
      </w:r>
      <w:r w:rsidR="00B81EA1" w:rsidRPr="008B2981">
        <w:rPr>
          <w:sz w:val="22"/>
          <w:szCs w:val="22"/>
        </w:rPr>
        <w:t>permet</w:t>
      </w:r>
      <w:r w:rsidR="00F600E7" w:rsidRPr="008B2981">
        <w:rPr>
          <w:sz w:val="22"/>
          <w:szCs w:val="22"/>
        </w:rPr>
        <w:t xml:space="preserve"> </w:t>
      </w:r>
      <w:r w:rsidRPr="008B2981">
        <w:rPr>
          <w:b/>
          <w:bCs/>
          <w:sz w:val="22"/>
          <w:szCs w:val="22"/>
        </w:rPr>
        <w:t>l’ensemble</w:t>
      </w:r>
      <w:r w:rsidR="00F600E7" w:rsidRPr="008B2981">
        <w:rPr>
          <w:sz w:val="22"/>
          <w:szCs w:val="22"/>
        </w:rPr>
        <w:t xml:space="preserve"> </w:t>
      </w:r>
      <w:r w:rsidRPr="008B2981">
        <w:rPr>
          <w:sz w:val="22"/>
          <w:szCs w:val="22"/>
        </w:rPr>
        <w:t xml:space="preserve">des fonctions suivantes, vous </w:t>
      </w:r>
      <w:r w:rsidR="00B412F8" w:rsidRPr="008B2981">
        <w:rPr>
          <w:sz w:val="22"/>
          <w:szCs w:val="22"/>
        </w:rPr>
        <w:t>respectez tous les critères</w:t>
      </w:r>
      <w:r w:rsidR="00575EDD" w:rsidRPr="008B2981">
        <w:rPr>
          <w:sz w:val="22"/>
          <w:szCs w:val="22"/>
        </w:rPr>
        <w:t xml:space="preserve"> d’intelligence de la gestion.</w:t>
      </w:r>
      <w:r w:rsidR="00764596" w:rsidRPr="008B2981">
        <w:rPr>
          <w:sz w:val="22"/>
          <w:szCs w:val="22"/>
        </w:rPr>
        <w:t xml:space="preserve"> </w:t>
      </w:r>
      <w:r w:rsidR="00575EDD" w:rsidRPr="008B2981">
        <w:rPr>
          <w:sz w:val="22"/>
          <w:szCs w:val="22"/>
        </w:rPr>
        <w:t>C</w:t>
      </w:r>
      <w:r w:rsidR="00B412F8" w:rsidRPr="008B2981">
        <w:rPr>
          <w:sz w:val="22"/>
          <w:szCs w:val="22"/>
        </w:rPr>
        <w:t>heck-list</w:t>
      </w:r>
      <w:r w:rsidR="00575EDD" w:rsidRPr="008B2981">
        <w:rPr>
          <w:sz w:val="22"/>
          <w:szCs w:val="22"/>
        </w:rPr>
        <w:t xml:space="preserve"> d</w:t>
      </w:r>
      <w:r w:rsidR="00B412F8" w:rsidRPr="008B2981">
        <w:rPr>
          <w:sz w:val="22"/>
          <w:szCs w:val="22"/>
        </w:rPr>
        <w:t xml:space="preserve">es points impératifs : </w:t>
      </w:r>
    </w:p>
    <w:p w14:paraId="27599909" w14:textId="757D07D5" w:rsidR="00CD52CB" w:rsidRPr="008B2981" w:rsidRDefault="00B90407" w:rsidP="00CD52CB">
      <w:pPr>
        <w:numPr>
          <w:ilvl w:val="0"/>
          <w:numId w:val="3"/>
        </w:numPr>
        <w:rPr>
          <w:sz w:val="22"/>
          <w:szCs w:val="22"/>
        </w:rPr>
      </w:pPr>
      <w:r w:rsidRPr="008B2981">
        <w:rPr>
          <w:sz w:val="22"/>
          <w:szCs w:val="22"/>
        </w:rPr>
        <w:t>p</w:t>
      </w:r>
      <w:r w:rsidR="00CD52CB" w:rsidRPr="008B2981">
        <w:rPr>
          <w:sz w:val="22"/>
          <w:szCs w:val="22"/>
        </w:rPr>
        <w:t>ossibilité de grader l’éclairage artificiel automatiquement en profitant des apports gratuits d’éclairage naturel</w:t>
      </w:r>
      <w:r w:rsidRPr="008B2981">
        <w:rPr>
          <w:sz w:val="22"/>
          <w:szCs w:val="22"/>
        </w:rPr>
        <w:t> ;</w:t>
      </w:r>
    </w:p>
    <w:p w14:paraId="635BFA7A" w14:textId="6CB477FA" w:rsidR="00CD52CB" w:rsidRPr="008B2981" w:rsidRDefault="00B90407" w:rsidP="00CD52CB">
      <w:pPr>
        <w:numPr>
          <w:ilvl w:val="0"/>
          <w:numId w:val="3"/>
        </w:numPr>
        <w:rPr>
          <w:sz w:val="22"/>
          <w:szCs w:val="22"/>
        </w:rPr>
      </w:pPr>
      <w:r w:rsidRPr="008B2981">
        <w:rPr>
          <w:sz w:val="22"/>
          <w:szCs w:val="22"/>
        </w:rPr>
        <w:t>p</w:t>
      </w:r>
      <w:r w:rsidR="00B412F8" w:rsidRPr="008B2981">
        <w:rPr>
          <w:sz w:val="22"/>
          <w:szCs w:val="22"/>
        </w:rPr>
        <w:t>ossibilité d’abaisser et éteindre l’éclairage lorsque personne n’occupe les lieux</w:t>
      </w:r>
      <w:r w:rsidRPr="008B2981">
        <w:rPr>
          <w:sz w:val="22"/>
          <w:szCs w:val="22"/>
        </w:rPr>
        <w:t> ;</w:t>
      </w:r>
    </w:p>
    <w:p w14:paraId="5D1C69E0" w14:textId="5480310E" w:rsidR="00B412F8" w:rsidRPr="008B2981" w:rsidRDefault="00B90407" w:rsidP="00CD52CB">
      <w:pPr>
        <w:numPr>
          <w:ilvl w:val="0"/>
          <w:numId w:val="3"/>
        </w:numPr>
        <w:rPr>
          <w:sz w:val="22"/>
          <w:szCs w:val="22"/>
        </w:rPr>
      </w:pPr>
      <w:r w:rsidRPr="008B2981">
        <w:rPr>
          <w:sz w:val="22"/>
          <w:szCs w:val="22"/>
        </w:rPr>
        <w:t>p</w:t>
      </w:r>
      <w:r w:rsidR="00B412F8" w:rsidRPr="008B2981">
        <w:rPr>
          <w:sz w:val="22"/>
          <w:szCs w:val="22"/>
        </w:rPr>
        <w:t>ossibilité d’assurer en permanence un niveau d’éclairement constant sur la zone de travail, en associant éclairage artificiel et lumière du jour</w:t>
      </w:r>
      <w:r w:rsidRPr="008B2981">
        <w:rPr>
          <w:sz w:val="22"/>
          <w:szCs w:val="22"/>
        </w:rPr>
        <w:t> ;</w:t>
      </w:r>
    </w:p>
    <w:p w14:paraId="23B663A0" w14:textId="47092F3A" w:rsidR="00CD52CB" w:rsidRPr="008B2981" w:rsidRDefault="00B90407" w:rsidP="00CD52CB">
      <w:pPr>
        <w:numPr>
          <w:ilvl w:val="0"/>
          <w:numId w:val="3"/>
        </w:numPr>
        <w:rPr>
          <w:sz w:val="22"/>
          <w:szCs w:val="22"/>
        </w:rPr>
      </w:pPr>
      <w:r w:rsidRPr="008B2981">
        <w:rPr>
          <w:sz w:val="22"/>
          <w:szCs w:val="22"/>
        </w:rPr>
        <w:t>p</w:t>
      </w:r>
      <w:r w:rsidR="00CD52CB" w:rsidRPr="008B2981">
        <w:rPr>
          <w:sz w:val="22"/>
          <w:szCs w:val="22"/>
        </w:rPr>
        <w:t>ossibilité d</w:t>
      </w:r>
      <w:r w:rsidRPr="008B2981">
        <w:rPr>
          <w:sz w:val="22"/>
          <w:szCs w:val="22"/>
        </w:rPr>
        <w:t>’</w:t>
      </w:r>
      <w:r w:rsidR="00CD52CB" w:rsidRPr="008B2981">
        <w:rPr>
          <w:sz w:val="22"/>
          <w:szCs w:val="22"/>
        </w:rPr>
        <w:t>afficher les informations de consommation de l’éclairage au global</w:t>
      </w:r>
      <w:r w:rsidR="00806304" w:rsidRPr="008B2981">
        <w:rPr>
          <w:sz w:val="22"/>
          <w:szCs w:val="22"/>
        </w:rPr>
        <w:t>, de les analyser, de les enregistrer et d’assurer le respect des consignes</w:t>
      </w:r>
      <w:r w:rsidR="00B81EA1" w:rsidRPr="008B2981">
        <w:rPr>
          <w:sz w:val="22"/>
          <w:szCs w:val="22"/>
        </w:rPr>
        <w:t> ;</w:t>
      </w:r>
    </w:p>
    <w:p w14:paraId="2718A833" w14:textId="5E12C7B5" w:rsidR="00CD52CB" w:rsidRPr="008B2981" w:rsidRDefault="00B90407" w:rsidP="00CD52CB">
      <w:pPr>
        <w:numPr>
          <w:ilvl w:val="0"/>
          <w:numId w:val="3"/>
        </w:numPr>
        <w:rPr>
          <w:sz w:val="22"/>
          <w:szCs w:val="22"/>
        </w:rPr>
      </w:pPr>
      <w:r w:rsidRPr="008B2981">
        <w:rPr>
          <w:sz w:val="22"/>
          <w:szCs w:val="22"/>
        </w:rPr>
        <w:t>p</w:t>
      </w:r>
      <w:r w:rsidR="00CD52CB" w:rsidRPr="008B2981">
        <w:rPr>
          <w:sz w:val="22"/>
          <w:szCs w:val="22"/>
        </w:rPr>
        <w:t>ossibilité de manuellement ajuster le niveau d’éclairage par l’utilisateur et/ou le gestionnaire du bâtiment</w:t>
      </w:r>
      <w:r w:rsidRPr="008B2981">
        <w:rPr>
          <w:sz w:val="22"/>
          <w:szCs w:val="22"/>
        </w:rPr>
        <w:t>.</w:t>
      </w:r>
    </w:p>
    <w:p w14:paraId="7ADD7B5F" w14:textId="4CA12829" w:rsidR="00036BD0" w:rsidRPr="008B2981" w:rsidRDefault="00B412F8" w:rsidP="00CD52CB">
      <w:pPr>
        <w:rPr>
          <w:sz w:val="22"/>
          <w:szCs w:val="22"/>
        </w:rPr>
      </w:pPr>
      <w:r w:rsidRPr="008B2981">
        <w:rPr>
          <w:sz w:val="22"/>
          <w:szCs w:val="22"/>
        </w:rPr>
        <w:t xml:space="preserve">Si ces fonctions sont assurées </w:t>
      </w:r>
      <w:r w:rsidR="00B81EA1" w:rsidRPr="008B2981">
        <w:rPr>
          <w:sz w:val="22"/>
          <w:szCs w:val="22"/>
        </w:rPr>
        <w:t>grâce à</w:t>
      </w:r>
      <w:r w:rsidRPr="008B2981">
        <w:rPr>
          <w:sz w:val="22"/>
          <w:szCs w:val="22"/>
        </w:rPr>
        <w:t xml:space="preserve"> votre système d’éclairage, </w:t>
      </w:r>
      <w:r w:rsidR="009F6E18" w:rsidRPr="008B2981">
        <w:rPr>
          <w:sz w:val="22"/>
          <w:szCs w:val="22"/>
        </w:rPr>
        <w:t>celui-ci</w:t>
      </w:r>
      <w:r w:rsidR="00575EDD" w:rsidRPr="008B2981">
        <w:rPr>
          <w:sz w:val="22"/>
          <w:szCs w:val="22"/>
        </w:rPr>
        <w:t xml:space="preserve"> est conforme aux objectifs de la DPEB</w:t>
      </w:r>
      <w:r w:rsidR="00165BD7" w:rsidRPr="008B2981">
        <w:rPr>
          <w:sz w:val="22"/>
          <w:szCs w:val="22"/>
        </w:rPr>
        <w:t xml:space="preserve"> et du Code de la construction</w:t>
      </w:r>
      <w:r w:rsidR="006E3BE3" w:rsidRPr="008B2981">
        <w:rPr>
          <w:sz w:val="22"/>
          <w:szCs w:val="22"/>
        </w:rPr>
        <w:t>.</w:t>
      </w:r>
      <w:r w:rsidR="00B81EA1" w:rsidRPr="008B2981">
        <w:rPr>
          <w:sz w:val="22"/>
          <w:szCs w:val="22"/>
        </w:rPr>
        <w:t xml:space="preserve"> Il est prêt au BACS</w:t>
      </w:r>
      <w:r w:rsidR="00033BCF" w:rsidRPr="008B2981">
        <w:rPr>
          <w:sz w:val="22"/>
          <w:szCs w:val="22"/>
        </w:rPr>
        <w:t xml:space="preserve"> en étant connecté à une GTB pour la supervision</w:t>
      </w:r>
      <w:r w:rsidR="00B81EA1" w:rsidRPr="008B2981">
        <w:rPr>
          <w:sz w:val="22"/>
          <w:szCs w:val="22"/>
        </w:rPr>
        <w:t>.</w:t>
      </w:r>
    </w:p>
    <w:p w14:paraId="29452A45" w14:textId="692E8ACE" w:rsidR="00036BD0" w:rsidRPr="008B2981" w:rsidRDefault="00F60049" w:rsidP="00165BD7">
      <w:pPr>
        <w:numPr>
          <w:ilvl w:val="0"/>
          <w:numId w:val="1"/>
        </w:numPr>
        <w:spacing w:before="240" w:after="120"/>
        <w:ind w:left="714" w:hanging="357"/>
        <w:rPr>
          <w:b/>
          <w:bCs/>
        </w:rPr>
      </w:pPr>
      <w:r w:rsidRPr="008B2981">
        <w:rPr>
          <w:b/>
          <w:bCs/>
        </w:rPr>
        <w:t>L’éclairage connecté : le data center du bâtiment</w:t>
      </w:r>
    </w:p>
    <w:p w14:paraId="114501A6" w14:textId="2238E06C" w:rsidR="00575EDD" w:rsidRPr="008B2981" w:rsidRDefault="006E3BE3" w:rsidP="00CD52CB">
      <w:pPr>
        <w:rPr>
          <w:sz w:val="22"/>
          <w:szCs w:val="22"/>
        </w:rPr>
      </w:pPr>
      <w:r w:rsidRPr="008B2981">
        <w:rPr>
          <w:sz w:val="22"/>
          <w:szCs w:val="22"/>
        </w:rPr>
        <w:t>La</w:t>
      </w:r>
      <w:r w:rsidR="00575EDD" w:rsidRPr="008B2981">
        <w:rPr>
          <w:sz w:val="22"/>
          <w:szCs w:val="22"/>
        </w:rPr>
        <w:t xml:space="preserve"> GTB associé</w:t>
      </w:r>
      <w:r w:rsidRPr="008B2981">
        <w:rPr>
          <w:sz w:val="22"/>
          <w:szCs w:val="22"/>
        </w:rPr>
        <w:t>e</w:t>
      </w:r>
      <w:r w:rsidR="00575EDD" w:rsidRPr="008B2981">
        <w:rPr>
          <w:sz w:val="22"/>
          <w:szCs w:val="22"/>
        </w:rPr>
        <w:t xml:space="preserve"> n’apportera pas de gain supplémentaire</w:t>
      </w:r>
      <w:r w:rsidRPr="008B2981">
        <w:rPr>
          <w:sz w:val="22"/>
          <w:szCs w:val="22"/>
        </w:rPr>
        <w:t xml:space="preserve"> sur l’usage éclairage. Elle permettra </w:t>
      </w:r>
      <w:r w:rsidR="00036BD0" w:rsidRPr="008B2981">
        <w:rPr>
          <w:sz w:val="22"/>
          <w:szCs w:val="22"/>
        </w:rPr>
        <w:t>en revanche d’assurer la</w:t>
      </w:r>
      <w:r w:rsidRPr="008B2981">
        <w:rPr>
          <w:sz w:val="22"/>
          <w:szCs w:val="22"/>
        </w:rPr>
        <w:t xml:space="preserve"> supervision </w:t>
      </w:r>
      <w:r w:rsidR="00036BD0" w:rsidRPr="008B2981">
        <w:rPr>
          <w:sz w:val="22"/>
          <w:szCs w:val="22"/>
        </w:rPr>
        <w:t>de l’ensemble des usages énergétiques, et de les faire communiquer entre eux en mutualisant leur intelligence du bâtiment. En ce sens, le réseau de capteurs pour l’éclairage est un potentiel centre nerveux d’informations pour les autres usages.</w:t>
      </w:r>
      <w:r w:rsidR="00806304" w:rsidRPr="008B2981">
        <w:rPr>
          <w:sz w:val="22"/>
          <w:szCs w:val="22"/>
        </w:rPr>
        <w:t xml:space="preserve"> </w:t>
      </w:r>
    </w:p>
    <w:p w14:paraId="37CD568A" w14:textId="48A46055" w:rsidR="00CD52CB" w:rsidRPr="008B2981" w:rsidRDefault="006E3BE3" w:rsidP="00CD52CB">
      <w:pPr>
        <w:rPr>
          <w:sz w:val="22"/>
          <w:szCs w:val="22"/>
        </w:rPr>
      </w:pPr>
      <w:r w:rsidRPr="008B2981">
        <w:rPr>
          <w:sz w:val="22"/>
          <w:szCs w:val="22"/>
        </w:rPr>
        <w:t xml:space="preserve">Il est donc important </w:t>
      </w:r>
      <w:r w:rsidR="00B412F8" w:rsidRPr="008B2981">
        <w:rPr>
          <w:sz w:val="22"/>
          <w:szCs w:val="22"/>
        </w:rPr>
        <w:t xml:space="preserve">que le système de GTB </w:t>
      </w:r>
      <w:r w:rsidR="00C4656E" w:rsidRPr="008B2981">
        <w:rPr>
          <w:sz w:val="22"/>
          <w:szCs w:val="22"/>
        </w:rPr>
        <w:t>puisse</w:t>
      </w:r>
      <w:r w:rsidR="00B412F8" w:rsidRPr="008B2981">
        <w:rPr>
          <w:sz w:val="22"/>
          <w:szCs w:val="22"/>
        </w:rPr>
        <w:t xml:space="preserve"> communiquer avec </w:t>
      </w:r>
      <w:r w:rsidR="00575EDD" w:rsidRPr="008B2981">
        <w:rPr>
          <w:sz w:val="22"/>
          <w:szCs w:val="22"/>
        </w:rPr>
        <w:t>votre système dédié éclairage</w:t>
      </w:r>
      <w:r w:rsidR="004220DA" w:rsidRPr="008B2981">
        <w:rPr>
          <w:sz w:val="22"/>
          <w:szCs w:val="22"/>
        </w:rPr>
        <w:t>, filaire ou sans fil</w:t>
      </w:r>
      <w:r w:rsidR="00B412F8" w:rsidRPr="008B2981">
        <w:rPr>
          <w:sz w:val="22"/>
          <w:szCs w:val="22"/>
        </w:rPr>
        <w:t>. L’interopérabilité de</w:t>
      </w:r>
      <w:r w:rsidR="00764596" w:rsidRPr="008B2981">
        <w:rPr>
          <w:sz w:val="22"/>
          <w:szCs w:val="22"/>
        </w:rPr>
        <w:t xml:space="preserve"> la </w:t>
      </w:r>
      <w:r w:rsidR="00B412F8" w:rsidRPr="008B2981">
        <w:rPr>
          <w:sz w:val="22"/>
          <w:szCs w:val="22"/>
        </w:rPr>
        <w:t>GTB</w:t>
      </w:r>
      <w:r w:rsidR="007305E4" w:rsidRPr="008B2981">
        <w:rPr>
          <w:sz w:val="22"/>
          <w:szCs w:val="22"/>
        </w:rPr>
        <w:t>, c</w:t>
      </w:r>
      <w:r w:rsidR="00764596" w:rsidRPr="008B2981">
        <w:rPr>
          <w:sz w:val="22"/>
          <w:szCs w:val="22"/>
        </w:rPr>
        <w:t xml:space="preserve">’est-à-dire sa </w:t>
      </w:r>
      <w:r w:rsidR="007305E4" w:rsidRPr="008B2981">
        <w:rPr>
          <w:sz w:val="22"/>
          <w:szCs w:val="22"/>
        </w:rPr>
        <w:t>capacité à communiquer et interagir avec d'autres produits ou systèmes</w:t>
      </w:r>
      <w:r w:rsidR="00764596" w:rsidRPr="008B2981">
        <w:rPr>
          <w:sz w:val="22"/>
          <w:szCs w:val="22"/>
        </w:rPr>
        <w:t>,</w:t>
      </w:r>
      <w:r w:rsidR="00B412F8" w:rsidRPr="008B2981">
        <w:rPr>
          <w:sz w:val="22"/>
          <w:szCs w:val="22"/>
        </w:rPr>
        <w:t xml:space="preserve"> est en effet un</w:t>
      </w:r>
      <w:r w:rsidR="000268B3" w:rsidRPr="008B2981">
        <w:rPr>
          <w:sz w:val="22"/>
          <w:szCs w:val="22"/>
        </w:rPr>
        <w:t xml:space="preserve"> impératif</w:t>
      </w:r>
      <w:r w:rsidR="00B412F8" w:rsidRPr="008B2981">
        <w:rPr>
          <w:sz w:val="22"/>
          <w:szCs w:val="22"/>
        </w:rPr>
        <w:t xml:space="preserve"> de la règlementation.</w:t>
      </w:r>
      <w:r w:rsidR="000268B3" w:rsidRPr="008B2981">
        <w:rPr>
          <w:sz w:val="22"/>
          <w:szCs w:val="22"/>
        </w:rPr>
        <w:t xml:space="preserve"> </w:t>
      </w:r>
      <w:r w:rsidR="00E5420E" w:rsidRPr="008B2981">
        <w:rPr>
          <w:sz w:val="22"/>
          <w:szCs w:val="22"/>
        </w:rPr>
        <w:t>E</w:t>
      </w:r>
      <w:r w:rsidR="000268B3" w:rsidRPr="008B2981">
        <w:rPr>
          <w:sz w:val="22"/>
          <w:szCs w:val="22"/>
        </w:rPr>
        <w:t>nfin,</w:t>
      </w:r>
      <w:r w:rsidR="00E5420E" w:rsidRPr="008B2981">
        <w:rPr>
          <w:sz w:val="22"/>
          <w:szCs w:val="22"/>
        </w:rPr>
        <w:t xml:space="preserve"> le </w:t>
      </w:r>
      <w:r w:rsidR="000268B3" w:rsidRPr="008B2981">
        <w:rPr>
          <w:sz w:val="22"/>
          <w:szCs w:val="22"/>
        </w:rPr>
        <w:t>C</w:t>
      </w:r>
      <w:r w:rsidR="00E5420E" w:rsidRPr="008B2981">
        <w:rPr>
          <w:sz w:val="22"/>
          <w:szCs w:val="22"/>
        </w:rPr>
        <w:t xml:space="preserve">ode </w:t>
      </w:r>
      <w:r w:rsidR="00806304" w:rsidRPr="008B2981">
        <w:rPr>
          <w:sz w:val="22"/>
          <w:szCs w:val="22"/>
        </w:rPr>
        <w:t xml:space="preserve">exige </w:t>
      </w:r>
      <w:r w:rsidR="000268B3" w:rsidRPr="008B2981">
        <w:rPr>
          <w:sz w:val="22"/>
          <w:szCs w:val="22"/>
        </w:rPr>
        <w:t xml:space="preserve">des systèmes efficaces et durables : </w:t>
      </w:r>
      <w:r w:rsidR="00806304" w:rsidRPr="008B2981">
        <w:rPr>
          <w:sz w:val="22"/>
          <w:szCs w:val="22"/>
        </w:rPr>
        <w:t>des opérateurs formés</w:t>
      </w:r>
      <w:r w:rsidR="000268B3" w:rsidRPr="008B2981">
        <w:rPr>
          <w:sz w:val="22"/>
          <w:szCs w:val="22"/>
        </w:rPr>
        <w:t>,</w:t>
      </w:r>
      <w:r w:rsidR="00806304" w:rsidRPr="008B2981">
        <w:rPr>
          <w:sz w:val="22"/>
          <w:szCs w:val="22"/>
        </w:rPr>
        <w:t xml:space="preserve"> une maintenance régulière</w:t>
      </w:r>
      <w:r w:rsidR="000268B3" w:rsidRPr="008B2981">
        <w:rPr>
          <w:sz w:val="22"/>
          <w:szCs w:val="22"/>
        </w:rPr>
        <w:t xml:space="preserve"> et des inspections périodiques</w:t>
      </w:r>
      <w:r w:rsidR="00806304" w:rsidRPr="008B2981">
        <w:rPr>
          <w:sz w:val="22"/>
          <w:szCs w:val="22"/>
        </w:rPr>
        <w:t>.</w:t>
      </w:r>
    </w:p>
    <w:p w14:paraId="66DC6EF1" w14:textId="77777777" w:rsidR="00764596" w:rsidRPr="008B2981" w:rsidRDefault="00764596">
      <w:pPr>
        <w:rPr>
          <w:sz w:val="22"/>
          <w:szCs w:val="22"/>
        </w:rPr>
      </w:pPr>
    </w:p>
    <w:p w14:paraId="6E125816" w14:textId="4640F39D" w:rsidR="00187E13" w:rsidRPr="00587418" w:rsidRDefault="00764596" w:rsidP="00187E13">
      <w:r w:rsidRPr="00764596">
        <w:rPr>
          <w:sz w:val="16"/>
          <w:szCs w:val="16"/>
        </w:rPr>
        <w:t xml:space="preserve">1 - </w:t>
      </w:r>
      <w:hyperlink r:id="rId5" w:history="1">
        <w:r w:rsidRPr="00587418">
          <w:rPr>
            <w:rStyle w:val="Lienhypertexte"/>
            <w:sz w:val="16"/>
            <w:szCs w:val="16"/>
          </w:rPr>
          <w:t>L</w:t>
        </w:r>
        <w:r w:rsidR="00587418" w:rsidRPr="00587418">
          <w:rPr>
            <w:rStyle w:val="Lienhypertexte"/>
            <w:sz w:val="16"/>
            <w:szCs w:val="16"/>
          </w:rPr>
          <w:t>’article 13 d</w:t>
        </w:r>
        <w:r w:rsidR="00575EDD" w:rsidRPr="00587418">
          <w:rPr>
            <w:rStyle w:val="Lienhypertexte"/>
            <w:sz w:val="16"/>
            <w:szCs w:val="16"/>
          </w:rPr>
          <w:t xml:space="preserve">e la Directive </w:t>
        </w:r>
        <w:r w:rsidR="00587418" w:rsidRPr="00587418">
          <w:rPr>
            <w:rStyle w:val="Lienhypertexte"/>
            <w:sz w:val="16"/>
            <w:szCs w:val="16"/>
          </w:rPr>
          <w:t>européenne « </w:t>
        </w:r>
        <w:r w:rsidR="00575EDD" w:rsidRPr="00587418">
          <w:rPr>
            <w:rStyle w:val="Lienhypertexte"/>
            <w:sz w:val="16"/>
            <w:szCs w:val="16"/>
          </w:rPr>
          <w:t>Performance énergétique des bâtiments</w:t>
        </w:r>
        <w:r w:rsidR="00587418" w:rsidRPr="00587418">
          <w:rPr>
            <w:rStyle w:val="Lienhypertexte"/>
            <w:sz w:val="16"/>
            <w:szCs w:val="16"/>
          </w:rPr>
          <w:t> »</w:t>
        </w:r>
      </w:hyperlink>
      <w:r w:rsidR="00575EDD">
        <w:rPr>
          <w:sz w:val="16"/>
          <w:szCs w:val="16"/>
        </w:rPr>
        <w:t xml:space="preserve"> (DPEB) </w:t>
      </w:r>
      <w:r w:rsidRPr="00764596">
        <w:rPr>
          <w:sz w:val="16"/>
          <w:szCs w:val="16"/>
        </w:rPr>
        <w:t xml:space="preserve">définit </w:t>
      </w:r>
      <w:r w:rsidRPr="00587418">
        <w:rPr>
          <w:sz w:val="16"/>
          <w:szCs w:val="16"/>
        </w:rPr>
        <w:t>les exigences relatives aux systèmes d’automatisation et de contrôle de l’éclairage</w:t>
      </w:r>
      <w:r w:rsidR="00587418" w:rsidRPr="00587418">
        <w:rPr>
          <w:sz w:val="16"/>
          <w:szCs w:val="16"/>
        </w:rPr>
        <w:t>. Le</w:t>
      </w:r>
      <w:r w:rsidRPr="00587418">
        <w:rPr>
          <w:sz w:val="16"/>
          <w:szCs w:val="16"/>
        </w:rPr>
        <w:t xml:space="preserve"> </w:t>
      </w:r>
      <w:r w:rsidR="000A052C">
        <w:rPr>
          <w:sz w:val="16"/>
          <w:szCs w:val="16"/>
        </w:rPr>
        <w:t>« </w:t>
      </w:r>
      <w:r w:rsidR="00587418">
        <w:rPr>
          <w:sz w:val="16"/>
          <w:szCs w:val="16"/>
        </w:rPr>
        <w:t>d</w:t>
      </w:r>
      <w:r w:rsidRPr="00587418">
        <w:rPr>
          <w:sz w:val="16"/>
          <w:szCs w:val="16"/>
        </w:rPr>
        <w:t>écret</w:t>
      </w:r>
      <w:r w:rsidR="00587418">
        <w:rPr>
          <w:sz w:val="16"/>
          <w:szCs w:val="16"/>
        </w:rPr>
        <w:t> </w:t>
      </w:r>
      <w:r w:rsidRPr="00587418">
        <w:rPr>
          <w:sz w:val="16"/>
          <w:szCs w:val="16"/>
        </w:rPr>
        <w:t>BACS</w:t>
      </w:r>
      <w:r w:rsidR="00587418">
        <w:rPr>
          <w:sz w:val="16"/>
          <w:szCs w:val="16"/>
        </w:rPr>
        <w:t> »</w:t>
      </w:r>
      <w:r w:rsidRPr="00587418">
        <w:rPr>
          <w:sz w:val="16"/>
          <w:szCs w:val="16"/>
        </w:rPr>
        <w:t>,</w:t>
      </w:r>
      <w:r w:rsidRPr="00764596">
        <w:rPr>
          <w:sz w:val="16"/>
          <w:szCs w:val="16"/>
        </w:rPr>
        <w:t xml:space="preserve"> </w:t>
      </w:r>
      <w:r w:rsidR="00587418">
        <w:rPr>
          <w:sz w:val="16"/>
          <w:szCs w:val="16"/>
        </w:rPr>
        <w:t xml:space="preserve">codifié </w:t>
      </w:r>
      <w:r>
        <w:rPr>
          <w:sz w:val="16"/>
          <w:szCs w:val="16"/>
        </w:rPr>
        <w:t xml:space="preserve">depuis 2021 dans </w:t>
      </w:r>
      <w:r w:rsidRPr="00764596">
        <w:rPr>
          <w:sz w:val="16"/>
          <w:szCs w:val="16"/>
        </w:rPr>
        <w:t xml:space="preserve">les </w:t>
      </w:r>
      <w:hyperlink r:id="rId6" w:anchor="LEGISCTA000043819535" w:history="1">
        <w:r w:rsidRPr="00764596">
          <w:rPr>
            <w:rStyle w:val="Lienhypertexte"/>
            <w:sz w:val="16"/>
            <w:szCs w:val="16"/>
          </w:rPr>
          <w:t>articles R175-1 à 6 du Code de la construction et de l’habitation</w:t>
        </w:r>
      </w:hyperlink>
      <w:r w:rsidR="00587418">
        <w:rPr>
          <w:sz w:val="16"/>
          <w:szCs w:val="16"/>
        </w:rPr>
        <w:t xml:space="preserve">, </w:t>
      </w:r>
      <w:r w:rsidR="00587418" w:rsidRPr="00587418">
        <w:rPr>
          <w:sz w:val="16"/>
          <w:szCs w:val="16"/>
        </w:rPr>
        <w:t>est sa transposition française.</w:t>
      </w:r>
    </w:p>
    <w:p w14:paraId="01DC4413" w14:textId="755F495F" w:rsidR="00187E13" w:rsidRPr="00187E13" w:rsidRDefault="00187E13" w:rsidP="00187E13">
      <w:pPr>
        <w:rPr>
          <w:sz w:val="16"/>
          <w:szCs w:val="16"/>
        </w:rPr>
      </w:pPr>
      <w:r w:rsidRPr="00187E13">
        <w:rPr>
          <w:sz w:val="16"/>
          <w:szCs w:val="16"/>
        </w:rPr>
        <w:t xml:space="preserve">Nota : </w:t>
      </w:r>
      <w:r w:rsidRPr="00CD52CB">
        <w:rPr>
          <w:sz w:val="16"/>
          <w:szCs w:val="16"/>
        </w:rPr>
        <w:t xml:space="preserve">on ne considère pas </w:t>
      </w:r>
      <w:r w:rsidRPr="00187E13">
        <w:rPr>
          <w:sz w:val="16"/>
          <w:szCs w:val="16"/>
        </w:rPr>
        <w:t xml:space="preserve">ici </w:t>
      </w:r>
      <w:r w:rsidRPr="00CD52CB">
        <w:rPr>
          <w:sz w:val="16"/>
          <w:szCs w:val="16"/>
        </w:rPr>
        <w:t>la partie « Thermique – CVC »</w:t>
      </w:r>
      <w:r w:rsidRPr="00187E13">
        <w:rPr>
          <w:sz w:val="16"/>
          <w:szCs w:val="16"/>
        </w:rPr>
        <w:t xml:space="preserve"> qui constitue l’objectif principal de l’Union européenne lorsqu’elle a introduit </w:t>
      </w:r>
      <w:r w:rsidR="00587418">
        <w:rPr>
          <w:sz w:val="16"/>
          <w:szCs w:val="16"/>
        </w:rPr>
        <w:t xml:space="preserve">dans la DPEB </w:t>
      </w:r>
      <w:r w:rsidRPr="00187E13">
        <w:rPr>
          <w:sz w:val="16"/>
          <w:szCs w:val="16"/>
        </w:rPr>
        <w:t>cette obligation de gestion technique centralisée des bâtiments tertiaires.</w:t>
      </w:r>
    </w:p>
    <w:p w14:paraId="17651244" w14:textId="0E7D6BB9" w:rsidR="008B2981" w:rsidRPr="00B81EA1" w:rsidRDefault="00764596">
      <w:r>
        <w:rPr>
          <w:sz w:val="16"/>
          <w:szCs w:val="16"/>
        </w:rPr>
        <w:t xml:space="preserve">Voir aussi : </w:t>
      </w:r>
      <w:r w:rsidRPr="00764596">
        <w:rPr>
          <w:sz w:val="16"/>
          <w:szCs w:val="16"/>
        </w:rPr>
        <w:t xml:space="preserve">2022 – </w:t>
      </w:r>
      <w:hyperlink r:id="rId7" w:history="1">
        <w:r w:rsidRPr="00764596">
          <w:rPr>
            <w:rStyle w:val="Lienhypertexte"/>
            <w:sz w:val="16"/>
            <w:szCs w:val="16"/>
          </w:rPr>
          <w:t>#ONVOUSÉCLAIRE SUR LE DÉCRET BACS</w:t>
        </w:r>
      </w:hyperlink>
      <w:r w:rsidR="008B2981">
        <w:rPr>
          <w:rStyle w:val="Lienhypertexte"/>
          <w:sz w:val="16"/>
          <w:szCs w:val="16"/>
        </w:rPr>
        <w:t xml:space="preserve"> </w:t>
      </w:r>
      <w:r w:rsidR="008B2981">
        <w:rPr>
          <w:sz w:val="16"/>
          <w:szCs w:val="16"/>
        </w:rPr>
        <w:t xml:space="preserve">Et le </w:t>
      </w:r>
      <w:hyperlink r:id="rId8" w:history="1">
        <w:r w:rsidR="008B2981" w:rsidRPr="00B11554">
          <w:rPr>
            <w:rStyle w:val="Lienhypertexte"/>
            <w:sz w:val="16"/>
            <w:szCs w:val="16"/>
          </w:rPr>
          <w:t>Guide ADEME « Rénover l’éclairage des bâtiments tertiaires »</w:t>
        </w:r>
      </w:hyperlink>
    </w:p>
    <w:sectPr w:rsidR="008B2981" w:rsidRPr="00B81E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B5923"/>
    <w:multiLevelType w:val="multilevel"/>
    <w:tmpl w:val="AB149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5F04B4"/>
    <w:multiLevelType w:val="multilevel"/>
    <w:tmpl w:val="2EE2F1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046127"/>
    <w:multiLevelType w:val="multilevel"/>
    <w:tmpl w:val="2EE2F1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00D03"/>
    <w:multiLevelType w:val="multilevel"/>
    <w:tmpl w:val="9946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2457791">
    <w:abstractNumId w:val="0"/>
  </w:num>
  <w:num w:numId="2" w16cid:durableId="109327942">
    <w:abstractNumId w:val="1"/>
  </w:num>
  <w:num w:numId="3" w16cid:durableId="1716467777">
    <w:abstractNumId w:val="3"/>
  </w:num>
  <w:num w:numId="4" w16cid:durableId="1837332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CB"/>
    <w:rsid w:val="000268B3"/>
    <w:rsid w:val="00033BCF"/>
    <w:rsid w:val="00036BD0"/>
    <w:rsid w:val="00074AFE"/>
    <w:rsid w:val="000A052C"/>
    <w:rsid w:val="00135D41"/>
    <w:rsid w:val="00143DCC"/>
    <w:rsid w:val="00156814"/>
    <w:rsid w:val="00165BD7"/>
    <w:rsid w:val="001760FC"/>
    <w:rsid w:val="00187E13"/>
    <w:rsid w:val="002375CE"/>
    <w:rsid w:val="00256437"/>
    <w:rsid w:val="00285B31"/>
    <w:rsid w:val="002B1345"/>
    <w:rsid w:val="00342AC1"/>
    <w:rsid w:val="004220DA"/>
    <w:rsid w:val="004C66D8"/>
    <w:rsid w:val="0057096C"/>
    <w:rsid w:val="0057583C"/>
    <w:rsid w:val="00575EDD"/>
    <w:rsid w:val="00587418"/>
    <w:rsid w:val="005A7F20"/>
    <w:rsid w:val="00667757"/>
    <w:rsid w:val="006802BD"/>
    <w:rsid w:val="006E3BE3"/>
    <w:rsid w:val="007270C6"/>
    <w:rsid w:val="007305E4"/>
    <w:rsid w:val="00764596"/>
    <w:rsid w:val="007D10AD"/>
    <w:rsid w:val="00806304"/>
    <w:rsid w:val="008B2981"/>
    <w:rsid w:val="008D1FF6"/>
    <w:rsid w:val="009B4DD7"/>
    <w:rsid w:val="009D31FF"/>
    <w:rsid w:val="009E123B"/>
    <w:rsid w:val="009F6E18"/>
    <w:rsid w:val="00A70E3D"/>
    <w:rsid w:val="00B11554"/>
    <w:rsid w:val="00B412F8"/>
    <w:rsid w:val="00B81EA1"/>
    <w:rsid w:val="00B90407"/>
    <w:rsid w:val="00B96EBC"/>
    <w:rsid w:val="00C1511B"/>
    <w:rsid w:val="00C4656E"/>
    <w:rsid w:val="00CD52CB"/>
    <w:rsid w:val="00D028DE"/>
    <w:rsid w:val="00E5420E"/>
    <w:rsid w:val="00F60049"/>
    <w:rsid w:val="00F600E7"/>
    <w:rsid w:val="00F64C2A"/>
    <w:rsid w:val="00FC41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D5B7083"/>
  <w15:chartTrackingRefBased/>
  <w15:docId w15:val="{CB463CFF-5FEA-F94C-A6BE-99618BD7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D5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D5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D52C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D52C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D52C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D52C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D52C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D52C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D52C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D52C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D52C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D52C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D52C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D52C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D52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D52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D52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D52CB"/>
    <w:rPr>
      <w:rFonts w:eastAsiaTheme="majorEastAsia" w:cstheme="majorBidi"/>
      <w:color w:val="272727" w:themeColor="text1" w:themeTint="D8"/>
    </w:rPr>
  </w:style>
  <w:style w:type="paragraph" w:styleId="Titre">
    <w:name w:val="Title"/>
    <w:basedOn w:val="Normal"/>
    <w:next w:val="Normal"/>
    <w:link w:val="TitreCar"/>
    <w:uiPriority w:val="10"/>
    <w:qFormat/>
    <w:rsid w:val="00CD52C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D52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D52CB"/>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D52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D52C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D52CB"/>
    <w:rPr>
      <w:i/>
      <w:iCs/>
      <w:color w:val="404040" w:themeColor="text1" w:themeTint="BF"/>
    </w:rPr>
  </w:style>
  <w:style w:type="paragraph" w:styleId="Paragraphedeliste">
    <w:name w:val="List Paragraph"/>
    <w:basedOn w:val="Normal"/>
    <w:uiPriority w:val="34"/>
    <w:qFormat/>
    <w:rsid w:val="00CD52CB"/>
    <w:pPr>
      <w:ind w:left="720"/>
      <w:contextualSpacing/>
    </w:pPr>
  </w:style>
  <w:style w:type="character" w:styleId="Accentuationintense">
    <w:name w:val="Intense Emphasis"/>
    <w:basedOn w:val="Policepardfaut"/>
    <w:uiPriority w:val="21"/>
    <w:qFormat/>
    <w:rsid w:val="00CD52CB"/>
    <w:rPr>
      <w:i/>
      <w:iCs/>
      <w:color w:val="0F4761" w:themeColor="accent1" w:themeShade="BF"/>
    </w:rPr>
  </w:style>
  <w:style w:type="paragraph" w:styleId="Citationintense">
    <w:name w:val="Intense Quote"/>
    <w:basedOn w:val="Normal"/>
    <w:next w:val="Normal"/>
    <w:link w:val="CitationintenseCar"/>
    <w:uiPriority w:val="30"/>
    <w:qFormat/>
    <w:rsid w:val="00CD5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D52CB"/>
    <w:rPr>
      <w:i/>
      <w:iCs/>
      <w:color w:val="0F4761" w:themeColor="accent1" w:themeShade="BF"/>
    </w:rPr>
  </w:style>
  <w:style w:type="character" w:styleId="Rfrenceintense">
    <w:name w:val="Intense Reference"/>
    <w:basedOn w:val="Policepardfaut"/>
    <w:uiPriority w:val="32"/>
    <w:qFormat/>
    <w:rsid w:val="00CD52CB"/>
    <w:rPr>
      <w:b/>
      <w:bCs/>
      <w:smallCaps/>
      <w:color w:val="0F4761" w:themeColor="accent1" w:themeShade="BF"/>
      <w:spacing w:val="5"/>
    </w:rPr>
  </w:style>
  <w:style w:type="character" w:styleId="Lienhypertexte">
    <w:name w:val="Hyperlink"/>
    <w:basedOn w:val="Policepardfaut"/>
    <w:uiPriority w:val="99"/>
    <w:unhideWhenUsed/>
    <w:rsid w:val="00764596"/>
    <w:rPr>
      <w:color w:val="467886" w:themeColor="hyperlink"/>
      <w:u w:val="single"/>
    </w:rPr>
  </w:style>
  <w:style w:type="character" w:styleId="Mentionnonrsolue">
    <w:name w:val="Unresolved Mention"/>
    <w:basedOn w:val="Policepardfaut"/>
    <w:uiPriority w:val="99"/>
    <w:semiHidden/>
    <w:unhideWhenUsed/>
    <w:rsid w:val="00764596"/>
    <w:rPr>
      <w:color w:val="605E5C"/>
      <w:shd w:val="clear" w:color="auto" w:fill="E1DFDD"/>
    </w:rPr>
  </w:style>
  <w:style w:type="character" w:styleId="Lienhypertextesuivivisit">
    <w:name w:val="FollowedHyperlink"/>
    <w:basedOn w:val="Policepardfaut"/>
    <w:uiPriority w:val="99"/>
    <w:semiHidden/>
    <w:unhideWhenUsed/>
    <w:rsid w:val="00764596"/>
    <w:rPr>
      <w:color w:val="96607D" w:themeColor="followedHyperlink"/>
      <w:u w:val="single"/>
    </w:rPr>
  </w:style>
  <w:style w:type="paragraph" w:customStyle="1" w:styleId="p1">
    <w:name w:val="p1"/>
    <w:basedOn w:val="Normal"/>
    <w:rsid w:val="000A052C"/>
    <w:rPr>
      <w:rFonts w:ascii="Arial" w:eastAsia="Times New Roman" w:hAnsi="Arial" w:cs="Arial"/>
      <w:color w:val="000000"/>
      <w:kern w:val="0"/>
      <w:sz w:val="28"/>
      <w:szCs w:val="28"/>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212404">
      <w:bodyDiv w:val="1"/>
      <w:marLeft w:val="0"/>
      <w:marRight w:val="0"/>
      <w:marTop w:val="0"/>
      <w:marBottom w:val="0"/>
      <w:divBdr>
        <w:top w:val="none" w:sz="0" w:space="0" w:color="auto"/>
        <w:left w:val="none" w:sz="0" w:space="0" w:color="auto"/>
        <w:bottom w:val="none" w:sz="0" w:space="0" w:color="auto"/>
        <w:right w:val="none" w:sz="0" w:space="0" w:color="auto"/>
      </w:divBdr>
    </w:div>
    <w:div w:id="1143431274">
      <w:bodyDiv w:val="1"/>
      <w:marLeft w:val="0"/>
      <w:marRight w:val="0"/>
      <w:marTop w:val="0"/>
      <w:marBottom w:val="0"/>
      <w:divBdr>
        <w:top w:val="none" w:sz="0" w:space="0" w:color="auto"/>
        <w:left w:val="none" w:sz="0" w:space="0" w:color="auto"/>
        <w:bottom w:val="none" w:sz="0" w:space="0" w:color="auto"/>
        <w:right w:val="none" w:sz="0" w:space="0" w:color="auto"/>
      </w:divBdr>
    </w:div>
    <w:div w:id="1585841851">
      <w:bodyDiv w:val="1"/>
      <w:marLeft w:val="0"/>
      <w:marRight w:val="0"/>
      <w:marTop w:val="0"/>
      <w:marBottom w:val="0"/>
      <w:divBdr>
        <w:top w:val="none" w:sz="0" w:space="0" w:color="auto"/>
        <w:left w:val="none" w:sz="0" w:space="0" w:color="auto"/>
        <w:bottom w:val="none" w:sz="0" w:space="0" w:color="auto"/>
        <w:right w:val="none" w:sz="0" w:space="0" w:color="auto"/>
      </w:divBdr>
    </w:div>
    <w:div w:id="16702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irie.ademe.fr/batiment/206-renover-l-eclairage-des-batiments-tertiaires-9791029715532.html" TargetMode="External"/><Relationship Id="rId3" Type="http://schemas.openxmlformats.org/officeDocument/2006/relationships/settings" Target="settings.xml"/><Relationship Id="rId7" Type="http://schemas.openxmlformats.org/officeDocument/2006/relationships/hyperlink" Target="https://www.syndicat-eclairage.com/wp-content/uploads/2022/06/SyndEclairage-OnVousEclaire-sur-le-decret-BACS-2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codes/section_lc/LEGITEXT000006074096/LEGISCTA000043819535/" TargetMode="External"/><Relationship Id="rId5" Type="http://schemas.openxmlformats.org/officeDocument/2006/relationships/hyperlink" Target="https://eur-lex.europa.eu/legal-content/FR/TXT/PDF/?uri=OJ:L_20240127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591</Words>
  <Characters>3251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Ouvrard</dc:creator>
  <cp:keywords/>
  <dc:description/>
  <cp:lastModifiedBy>Dominique Ouvrard</cp:lastModifiedBy>
  <cp:revision>4</cp:revision>
  <dcterms:created xsi:type="dcterms:W3CDTF">2025-10-10T14:41:00Z</dcterms:created>
  <dcterms:modified xsi:type="dcterms:W3CDTF">2025-11-04T15:42:00Z</dcterms:modified>
</cp:coreProperties>
</file>